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pPr>
      <w:r>
        <w:rPr>
          <w:b/>
          <w:bCs/>
          <w:sz w:val="32"/>
          <w:szCs w:val="32"/>
        </w:rPr>
        <w:t xml:space="preserve">KI-Richtlinie der [Name der Kanzlei]</w:t>
      </w:r>
    </w:p>
    <w:p>
      <w:pPr>
        <w:spacing w:after="120"/>
      </w:pPr>
      <w:r>
        <w:t xml:space="preserve">Stand: [Datum] · Verantwortlich: [Name, Funktion]</w:t>
      </w:r>
    </w:p>
    <w:p>
      <w:pPr>
        <w:pStyle w:val="Heading2"/>
        <w:spacing w:before="280" w:after="100"/>
      </w:pPr>
      <w:r>
        <w:rPr>
          <w:b/>
          <w:bCs/>
          <w:sz w:val="24"/>
          <w:szCs w:val="24"/>
        </w:rPr>
        <w:t xml:space="preserve">1. Zweck und Geltungsbereich</w:t>
      </w:r>
    </w:p>
    <w:p>
      <w:pPr>
        <w:spacing w:after="120"/>
      </w:pPr>
      <w:r>
        <w:t xml:space="preserve">Diese Richtlinie regelt den Einsatz von KI-Werkzeugen in der Kanzlei, zum Beispiel Chatbots wie ChatGPT, Schreib-, Übersetzungs- und Transkriptionswerkzeuge sowie KI-Funktionen in Kanzleisoftware und Office-Programmen.</w:t>
      </w:r>
    </w:p>
    <w:p>
      <w:pPr>
        <w:spacing w:after="120"/>
      </w:pPr>
      <w:r>
        <w:t xml:space="preserve">Sie gilt für alle Beschäftigten, Auszubildenden und Aushilfen sowie für freie Mitarbeitende, die für die Kanzlei tätig sind.</w:t>
      </w:r>
    </w:p>
    <w:p>
      <w:pPr>
        <w:spacing w:after="120"/>
      </w:pPr>
      <w:r>
        <w:t xml:space="preserve">Ziel ist, KI dort zu nutzen, wo sie die Arbeit erleichtert, und dabei Verschwiegenheit, Datenschutz und fachliche Qualität zu wahren.</w:t>
      </w:r>
    </w:p>
    <w:p>
      <w:pPr>
        <w:pStyle w:val="Heading2"/>
        <w:spacing w:before="280" w:after="100"/>
      </w:pPr>
      <w:r>
        <w:rPr>
          <w:b/>
          <w:bCs/>
          <w:sz w:val="24"/>
          <w:szCs w:val="24"/>
        </w:rPr>
        <w:t xml:space="preserve">2. Freigegebene Werkzeuge</w:t>
      </w:r>
    </w:p>
    <w:p>
      <w:pPr>
        <w:spacing w:after="120"/>
      </w:pPr>
      <w:r>
        <w:t xml:space="preserve">Dienstlich dürfen nur die folgenden Werkzeuge mit den von der Kanzlei bereitgestellten Zugängen genutzt werden:</w:t>
      </w:r>
    </w:p>
    <w:p>
      <w:pPr>
        <w:pStyle w:val="ListParagraph"/>
        <w:numPr>
          <w:ilvl w:val="0"/>
          <w:numId w:val="1"/>
        </w:numPr>
        <w:spacing w:after="60"/>
      </w:pPr>
      <w:r>
        <w:t xml:space="preserve">[Werkzeug, z. B. ChatGPT Business] · Zugang: [Kanzlei-Konto] · erlaubt bis Stufe [1/2/3]</w:t>
      </w:r>
    </w:p>
    <w:p>
      <w:pPr>
        <w:pStyle w:val="ListParagraph"/>
        <w:numPr>
          <w:ilvl w:val="0"/>
          <w:numId w:val="1"/>
        </w:numPr>
        <w:spacing w:after="60"/>
      </w:pPr>
      <w:r>
        <w:t xml:space="preserve">[Werkzeug, z. B. KI-Funktion der Kanzleisoftware] · Zugang: [Kanzlei-Konto] · erlaubt bis Stufe [1/2/3]</w:t>
      </w:r>
    </w:p>
    <w:p>
      <w:pPr>
        <w:pStyle w:val="ListParagraph"/>
        <w:numPr>
          <w:ilvl w:val="0"/>
          <w:numId w:val="1"/>
        </w:numPr>
        <w:spacing w:after="60"/>
      </w:pPr>
      <w:r>
        <w:t xml:space="preserve">[Werkzeug, z. B. Übersetzungsdienst] · Zugang: [Kanzlei-Konto] · erlaubt bis Stufe [1/2/3]</w:t>
      </w:r>
    </w:p>
    <w:p>
      <w:pPr>
        <w:spacing w:after="120"/>
      </w:pPr>
      <w:r>
        <w:t xml:space="preserve">Private Konten und nicht freigegebene Werkzeuge dürfen für dienstliche Zwecke nicht genutzt werden. Wer ein weiteres Werkzeug nutzen möchte, wendet sich an [Ansprechperson]. Neue Werkzeuge werden vor der Freigabe auf Vertrag, Datenschutz und Verschwiegenheit geprüft und in das KI-Verzeichnis aufgenommen.</w:t>
      </w:r>
    </w:p>
    <w:p>
      <w:pPr>
        <w:pStyle w:val="Heading2"/>
        <w:spacing w:before="280" w:after="100"/>
      </w:pPr>
      <w:r>
        <w:rPr>
          <w:b/>
          <w:bCs/>
          <w:sz w:val="24"/>
          <w:szCs w:val="24"/>
        </w:rPr>
        <w:t xml:space="preserve">3. Welche Daten wohin dürfen: drei Stufen</w:t>
      </w:r>
    </w:p>
    <w:p>
      <w:pPr>
        <w:spacing w:after="120"/>
      </w:pPr>
      <w:r>
        <w:t xml:space="preserve">Stufe 1, allgemein: Fachfragen ohne Fallbezug, Texte für Newsletter und Website, Muster und Checklisten ohne Personenbezug. Erlaubt in allen freigegebenen Werkzeugen.</w:t>
      </w:r>
    </w:p>
    <w:p>
      <w:pPr>
        <w:spacing w:after="120"/>
      </w:pPr>
      <w:r>
        <w:t xml:space="preserve">Stufe 2, intern: vollständig anonymisierte Sachverhalte und interne Abläufe ohne Personen- und Mandatsbezug. Erlaubt nur in Werkzeugen mit Kanzlei-Zugang, bei denen die Nutzung der Eingaben zum Training ausgeschlossen ist.</w:t>
      </w:r>
    </w:p>
    <w:p>
      <w:pPr>
        <w:spacing w:after="120"/>
      </w:pPr>
      <w:r>
        <w:t xml:space="preserve">Stufe 3, vertraulich: alles, was auf Mandanten, Mandate oder Beschäftigte schließen lässt, zum Beispiel Namen, Steuer-ID, Anschriften, Kontoverbindungen, Steuererklärungen, Bilanzen, Lohn- und Personalunterlagen, Verträge und Schriftsätze. Erlaubt nur in Werkzeugen, die die Kanzleileitung ausdrücklich für Stufe 3 freigegeben hat (Verschwiegenheitsvereinbarung nach § 62a StBerG bzw. § 43e BRAO und Auftragsverarbeitungsvertrag), oder mit vorheriger Einwilligung des Mandanten.</w:t>
      </w:r>
    </w:p>
    <w:p>
      <w:pPr>
        <w:spacing w:after="120"/>
      </w:pPr>
      <w:r>
        <w:t xml:space="preserve">Niemals in KI-Werkzeuge: Passwörter und Zugangsdaten, Gesundheitsdaten, Krankmeldungen und Beurteilungen von Beschäftigten, interne Strategie- und Umsatzplanung.</w:t>
      </w:r>
    </w:p>
    <w:p>
      <w:pPr>
        <w:pStyle w:val="Heading2"/>
        <w:spacing w:before="280" w:after="100"/>
      </w:pPr>
      <w:r>
        <w:rPr>
          <w:b/>
          <w:bCs/>
          <w:sz w:val="24"/>
          <w:szCs w:val="24"/>
        </w:rPr>
        <w:t xml:space="preserve">4. Richtig anonymisieren</w:t>
      </w:r>
    </w:p>
    <w:p>
      <w:pPr>
        <w:pStyle w:val="ListParagraph"/>
        <w:numPr>
          <w:ilvl w:val="0"/>
          <w:numId w:val="1"/>
        </w:numPr>
        <w:spacing w:after="60"/>
      </w:pPr>
      <w:r>
        <w:t xml:space="preserve">Namen, Firmen, Orte, Daten, Beträge, Aktenzeichen und Nummern entfernen oder verallgemeinern.</w:t>
      </w:r>
    </w:p>
    <w:p>
      <w:pPr>
        <w:pStyle w:val="ListParagraph"/>
        <w:numPr>
          <w:ilvl w:val="0"/>
          <w:numId w:val="1"/>
        </w:numPr>
        <w:spacing w:after="60"/>
      </w:pPr>
      <w:r>
        <w:t xml:space="preserve">Seltene Merkmale vergröbern, damit auch Kombinationen nicht verraten, um wen es geht.</w:t>
      </w:r>
    </w:p>
    <w:p>
      <w:pPr>
        <w:pStyle w:val="ListParagraph"/>
        <w:numPr>
          <w:ilvl w:val="0"/>
          <w:numId w:val="1"/>
        </w:numPr>
        <w:spacing w:after="60"/>
      </w:pPr>
      <w:r>
        <w:t xml:space="preserve">Bei Dokumenten jede Seite prüfen, auch Kopf- und Fußzeilen, Anlagen, Dateinamen und Metadaten.</w:t>
      </w:r>
    </w:p>
    <w:p>
      <w:pPr>
        <w:pStyle w:val="ListParagraph"/>
        <w:numPr>
          <w:ilvl w:val="0"/>
          <w:numId w:val="1"/>
        </w:numPr>
        <w:spacing w:after="60"/>
      </w:pPr>
      <w:r>
        <w:t xml:space="preserve">Im Zweifel nichts hochladen, sondern den Sachverhalt abstrakt in eigenen Worten beschreiben.</w:t>
      </w:r>
    </w:p>
    <w:p>
      <w:pPr>
        <w:spacing w:after="120"/>
      </w:pPr>
      <w:r>
        <w:t xml:space="preserve">Beispiel: Statt „Mail an Herrn Mustermann, Nachzahlung 18.420 € wegen Rechnung vom 14.05.“ lautet die Eingabe „Mail an einen Mandanten: Nachzahlung wegen formaler Mängel einer Eingangsrechnung, bitte um Rückruf“. Die Details werden danach selbst eingesetzt.</w:t>
      </w:r>
    </w:p>
    <w:p>
      <w:pPr>
        <w:pStyle w:val="Heading2"/>
        <w:spacing w:before="280" w:after="100"/>
      </w:pPr>
      <w:r>
        <w:rPr>
          <w:b/>
          <w:bCs/>
          <w:sz w:val="24"/>
          <w:szCs w:val="24"/>
        </w:rPr>
        <w:t xml:space="preserve">5. Prüfpflicht</w:t>
      </w:r>
    </w:p>
    <w:p>
      <w:pPr>
        <w:spacing w:after="120"/>
      </w:pPr>
      <w:r>
        <w:t xml:space="preserve">KI-Ergebnisse sind Entwürfe. Kein KI-Ergebnis verlässt die Kanzlei ungeprüft. Vorschriften, Urteile, Fundstellen und Zahlen werden im Original nachgelesen bzw. nachgerechnet. Die fachliche Verantwortung bleibt bei der Person, die das Ergebnis verwendet, und beim zuständigen Berufsträger.</w:t>
      </w:r>
    </w:p>
    <w:p>
      <w:pPr>
        <w:pStyle w:val="Heading2"/>
        <w:spacing w:before="280" w:after="100"/>
      </w:pPr>
      <w:r>
        <w:rPr>
          <w:b/>
          <w:bCs/>
          <w:sz w:val="24"/>
          <w:szCs w:val="24"/>
        </w:rPr>
        <w:t xml:space="preserve">6. Mandanten und Transparenz</w:t>
      </w:r>
    </w:p>
    <w:p>
      <w:pPr>
        <w:spacing w:after="120"/>
      </w:pPr>
      <w:r>
        <w:t xml:space="preserve">Der Einsatz von KI bei der Bearbeitung von Mandaten richtet sich nach der Mandatsvereinbarung. Wo eine Einwilligung des Mandanten nötig ist, wird sie vorher eingeholt und dokumentiert. Bei Veröffentlichungen beachten wir die gesetzlichen Kennzeichnungspflichten für KI-erzeugte Inhalte.</w:t>
      </w:r>
    </w:p>
    <w:p>
      <w:pPr>
        <w:pStyle w:val="Heading2"/>
        <w:spacing w:before="280" w:after="100"/>
      </w:pPr>
      <w:r>
        <w:rPr>
          <w:b/>
          <w:bCs/>
          <w:sz w:val="24"/>
          <w:szCs w:val="24"/>
        </w:rPr>
        <w:t xml:space="preserve">7. Lernen und KI-Kompetenz</w:t>
      </w:r>
    </w:p>
    <w:p>
      <w:pPr>
        <w:spacing w:after="120"/>
      </w:pPr>
      <w:r>
        <w:t xml:space="preserve">Alle, die KI-Werkzeuge nutzen, nehmen an den Maßnahmen der Kanzlei zur KI-Kompetenz teil (Art. 4 KI-Verordnung): eine Einweisung bei Beginn und bei neuen Werkzeugen sowie laufende kurze Lerneinheiten, mindestens [Zahl] pro [Monat/Quartal/Jahr].</w:t>
      </w:r>
    </w:p>
    <w:p>
      <w:pPr>
        <w:spacing w:after="120"/>
      </w:pPr>
      <w:r>
        <w:t xml:space="preserve">Festgehalten wird nur, ob jemand im Zeitraum teilgenommen hat. Es gibt keine Noten, und KI-Chats werden nicht ausgewertet.</w:t>
      </w:r>
    </w:p>
    <w:p>
      <w:pPr>
        <w:pStyle w:val="Heading2"/>
        <w:spacing w:before="280" w:after="100"/>
      </w:pPr>
      <w:r>
        <w:rPr>
          <w:b/>
          <w:bCs/>
          <w:sz w:val="24"/>
          <w:szCs w:val="24"/>
        </w:rPr>
        <w:t xml:space="preserve">8. Fehler und Vorfälle</w:t>
      </w:r>
    </w:p>
    <w:p>
      <w:pPr>
        <w:spacing w:after="120"/>
      </w:pPr>
      <w:r>
        <w:t xml:space="preserve">Wer versehentlich vertrauliche Daten in ein Werkzeug eingegeben hat oder einen Fehler in einem KI-Ergebnis bemerkt, meldet das sofort an [Ansprechperson]. Schnelles Melden ist wichtiger als Schuldfragen: Datenschutzverletzungen müssen unter Umständen innerhalb von 72 Stunden an die Aufsichtsbehörde gemeldet werden.</w:t>
      </w:r>
    </w:p>
    <w:p>
      <w:pPr>
        <w:pStyle w:val="Heading2"/>
        <w:spacing w:before="280" w:after="100"/>
      </w:pPr>
      <w:r>
        <w:rPr>
          <w:b/>
          <w:bCs/>
          <w:sz w:val="24"/>
          <w:szCs w:val="24"/>
        </w:rPr>
        <w:t xml:space="preserve">9. Ansprechperson und Überprüfung</w:t>
      </w:r>
    </w:p>
    <w:p>
      <w:pPr>
        <w:spacing w:after="120"/>
      </w:pPr>
      <w:r>
        <w:t xml:space="preserve">Ansprechperson für alle Fragen zu KI: [Name, Kontakt]. Die Richtlinie wird mindestens einmal im Jahr und bei jedem neuen Werkzeug überprüft.</w:t>
      </w:r>
    </w:p>
    <w:p>
      <w:pPr>
        <w:pStyle w:val="Heading2"/>
        <w:spacing w:before="280" w:after="100"/>
      </w:pPr>
      <w:r>
        <w:rPr>
          <w:b/>
          <w:bCs/>
          <w:sz w:val="24"/>
          <w:szCs w:val="24"/>
        </w:rPr>
        <w:t xml:space="preserve">Kenntnisnahme</w:t>
      </w:r>
    </w:p>
    <w:p>
      <w:pPr>
        <w:spacing w:after="120"/>
      </w:pPr>
      <w:r>
        <w:t xml:space="preserve">Ich habe die KI-Richtlinie gelesen und verstanden und halte mich daran.</w:t>
      </w:r>
    </w:p>
    <w:p>
      <w:pPr>
        <w:spacing w:after="120"/>
      </w:pPr>
      <w:r>
        <w:t xml:space="preserve">Name: ______________________   Datum: ____________   Unterschrift: ______________________</w:t>
      </w:r>
    </w:p>
    <w:sectPr>
      <w:pgSz w:w="11906" w:h="16838" w:orient="portrait"/>
      <w:pgMar w:top="1134" w:right="1418"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2"/>
        <w:szCs w:val="22"/>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KI-Richtlinie</dc:title>
  <dc:creator>Meanwhyle</dc:creator>
  <cp:lastModifiedBy>Un-named</cp:lastModifiedBy>
  <cp:revision>1</cp:revision>
  <dcterms:created xsi:type="dcterms:W3CDTF">2026-10-11T19:57:55.462Z</dcterms:created>
  <dcterms:modified xsi:type="dcterms:W3CDTF">2026-10-11T19:57:55.462Z</dcterms:modified>
</cp:coreProperties>
</file>

<file path=docProps/custom.xml><?xml version="1.0" encoding="utf-8"?>
<Properties xmlns="http://schemas.openxmlformats.org/officeDocument/2006/custom-properties" xmlns:vt="http://schemas.openxmlformats.org/officeDocument/2006/docPropsVTypes"/>
</file>